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14" w:rsidRDefault="00390809">
      <w:pPr>
        <w:spacing w:after="0" w:line="259" w:lineRule="auto"/>
        <w:ind w:left="-5" w:hanging="10"/>
      </w:pPr>
      <w:r>
        <w:rPr>
          <w:b/>
          <w:sz w:val="32"/>
        </w:rPr>
        <w:t xml:space="preserve">ATTACHMENT 2 </w:t>
      </w:r>
    </w:p>
    <w:p w:rsidR="00A45714" w:rsidRDefault="00390809">
      <w:pPr>
        <w:spacing w:after="0" w:line="259" w:lineRule="auto"/>
        <w:ind w:left="-5" w:hanging="10"/>
      </w:pPr>
      <w:r>
        <w:rPr>
          <w:b/>
          <w:sz w:val="32"/>
        </w:rPr>
        <w:t xml:space="preserve">Key Performance Indicators </w:t>
      </w:r>
    </w:p>
    <w:p w:rsidR="00A45714" w:rsidRDefault="00390809">
      <w:pPr>
        <w:spacing w:after="0" w:line="259" w:lineRule="auto"/>
      </w:pPr>
      <w:r>
        <w:t xml:space="preserve"> </w:t>
      </w:r>
    </w:p>
    <w:tbl>
      <w:tblPr>
        <w:tblStyle w:val="TableGrid"/>
        <w:tblW w:w="9776" w:type="dxa"/>
        <w:tblInd w:w="-283" w:type="dxa"/>
        <w:tblCellMar>
          <w:top w:w="56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126"/>
        <w:gridCol w:w="4514"/>
        <w:gridCol w:w="3136"/>
      </w:tblGrid>
      <w:tr w:rsidR="00A45714" w:rsidTr="00F511AD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  <w:p w:rsidR="00A45714" w:rsidRDefault="00390809">
            <w:pPr>
              <w:spacing w:after="0" w:line="259" w:lineRule="auto"/>
            </w:pPr>
            <w:r>
              <w:t xml:space="preserve">Standard/Broad </w:t>
            </w:r>
          </w:p>
          <w:p w:rsidR="00A45714" w:rsidRDefault="00390809">
            <w:pPr>
              <w:spacing w:after="0" w:line="259" w:lineRule="auto"/>
            </w:pPr>
            <w:r>
              <w:t xml:space="preserve">Area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  <w:p w:rsidR="00A45714" w:rsidRDefault="00390809">
            <w:pPr>
              <w:spacing w:after="0" w:line="259" w:lineRule="auto"/>
            </w:pPr>
            <w:r>
              <w:t xml:space="preserve">Key Performance Indicator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  <w:p w:rsidR="00A45714" w:rsidRDefault="00390809">
            <w:pPr>
              <w:spacing w:after="0" w:line="259" w:lineRule="auto"/>
            </w:pPr>
            <w:r>
              <w:t xml:space="preserve">Level at Which Data is </w:t>
            </w:r>
          </w:p>
          <w:p w:rsidR="00A45714" w:rsidRDefault="00390809">
            <w:pPr>
              <w:spacing w:after="0" w:line="259" w:lineRule="auto"/>
            </w:pPr>
            <w:r>
              <w:t xml:space="preserve">Required </w:t>
            </w:r>
          </w:p>
        </w:tc>
      </w:tr>
      <w:tr w:rsidR="00A45714" w:rsidTr="00F511AD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2C7D23">
            <w:pPr>
              <w:spacing w:after="0" w:line="259" w:lineRule="auto"/>
              <w:ind w:right="184"/>
              <w:jc w:val="both"/>
            </w:pPr>
            <w:r>
              <w:t xml:space="preserve">3-Management </w:t>
            </w:r>
            <w:r w:rsidR="00390809">
              <w:t xml:space="preserve">of Quality Assurance and Improvement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/>
            </w:pPr>
            <w:r>
              <w:t xml:space="preserve">1.  Students overall evaluation on the quality of their learning experiences at the institution. </w:t>
            </w:r>
          </w:p>
          <w:p w:rsidR="002E0EE0" w:rsidRDefault="00390809" w:rsidP="00936832">
            <w:pPr>
              <w:spacing w:after="0" w:line="259" w:lineRule="auto"/>
            </w:pPr>
            <w:r>
              <w:t xml:space="preserve"> (Average rating of the overall quality of their program on a </w:t>
            </w:r>
            <w:r w:rsidR="002C7D23">
              <w:t>five point</w:t>
            </w:r>
            <w:r>
              <w:t xml:space="preserve"> scale in an annual survey of final year students.) </w:t>
            </w:r>
          </w:p>
          <w:p w:rsidR="00936832" w:rsidRDefault="00390809" w:rsidP="00936832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>P</w:t>
            </w:r>
            <w:r>
              <w:t xml:space="preserve">rogram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>Data separ</w:t>
            </w:r>
            <w:r>
              <w:t xml:space="preserve">ately for male and female sections and combined for all. </w:t>
            </w:r>
          </w:p>
        </w:tc>
      </w:tr>
      <w:tr w:rsidR="00A45714" w:rsidTr="00F511AD">
        <w:trPr>
          <w:trHeight w:val="13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2.  Proportion of courses in which student evaluations were conducted during the year.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  <w:p w:rsidR="00936832" w:rsidRDefault="00936832">
            <w:pPr>
              <w:spacing w:after="0" w:line="259" w:lineRule="auto"/>
            </w:pPr>
          </w:p>
        </w:tc>
      </w:tr>
      <w:tr w:rsidR="00A45714" w:rsidTr="00F511AD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32" w:rsidRDefault="00390809" w:rsidP="00936832">
            <w:pPr>
              <w:spacing w:after="0" w:line="259" w:lineRule="auto"/>
            </w:pPr>
            <w:r>
              <w:t xml:space="preserve">3.  Proportion of departments in which there was independent verification of standards of student achievement through internal processes during the past year. </w:t>
            </w:r>
          </w:p>
          <w:p w:rsidR="002E0EE0" w:rsidRDefault="002E0EE0" w:rsidP="00936832">
            <w:pPr>
              <w:spacing w:after="0" w:line="259" w:lineRule="auto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</w:tc>
      </w:tr>
      <w:tr w:rsidR="00A45714" w:rsidTr="00F511AD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>4.  Proportion of departments verifying achievement standards through e</w:t>
            </w:r>
            <w:r>
              <w:t xml:space="preserve">xternal processes during the past year. </w:t>
            </w:r>
          </w:p>
          <w:p w:rsidR="00936832" w:rsidRDefault="00936832">
            <w:pPr>
              <w:spacing w:after="0" w:line="259" w:lineRule="auto"/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</w:tc>
      </w:tr>
      <w:tr w:rsidR="00A45714" w:rsidTr="00F511AD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2C7D23">
            <w:pPr>
              <w:spacing w:after="0" w:line="259" w:lineRule="auto"/>
            </w:pPr>
            <w:r>
              <w:t xml:space="preserve">4- </w:t>
            </w:r>
            <w:r w:rsidR="00390809">
              <w:t xml:space="preserve">Learning and </w:t>
            </w:r>
          </w:p>
          <w:p w:rsidR="00A45714" w:rsidRDefault="00390809">
            <w:pPr>
              <w:spacing w:after="0" w:line="259" w:lineRule="auto"/>
            </w:pPr>
            <w:r>
              <w:t xml:space="preserve">Teaching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5.  Ratio of students to teaching staff. </w:t>
            </w:r>
          </w:p>
          <w:p w:rsidR="00A45714" w:rsidRDefault="00390809">
            <w:pPr>
              <w:spacing w:after="0" w:line="259" w:lineRule="auto"/>
            </w:pPr>
            <w:r>
              <w:t xml:space="preserve">(Based on full time equivalents)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or College (see </w:t>
            </w:r>
          </w:p>
          <w:p w:rsidR="00A45714" w:rsidRDefault="00390809">
            <w:pPr>
              <w:spacing w:after="0" w:line="259" w:lineRule="auto"/>
            </w:pPr>
            <w:r>
              <w:t xml:space="preserve">note)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936832" w:rsidRDefault="00390809" w:rsidP="00936832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 w:rsidTr="00F511AD">
        <w:trPr>
          <w:trHeight w:val="19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/>
            </w:pPr>
            <w:r>
              <w:t xml:space="preserve">6.  Students overall rating of the quality of their courses. </w:t>
            </w:r>
          </w:p>
          <w:p w:rsidR="00A45714" w:rsidRDefault="00390809">
            <w:pPr>
              <w:spacing w:after="0" w:line="259" w:lineRule="auto"/>
            </w:pPr>
            <w:r>
              <w:t xml:space="preserve">(Average rating by students on a five point scale on overall evaluation of courses.)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or College (see </w:t>
            </w:r>
          </w:p>
          <w:p w:rsidR="00A45714" w:rsidRDefault="00390809">
            <w:pPr>
              <w:spacing w:after="0"/>
              <w:ind w:right="1682"/>
            </w:pPr>
            <w:r>
              <w:t xml:space="preserve">note) 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>Data separately for male and female</w:t>
            </w:r>
            <w:r>
              <w:t xml:space="preserve"> sections and combined for all. </w:t>
            </w:r>
          </w:p>
        </w:tc>
      </w:tr>
      <w:tr w:rsidR="00A45714" w:rsidTr="00F511AD">
        <w:trPr>
          <w:trHeight w:val="19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lastRenderedPageBreak/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7.  Proportion of teaching staff with verified doctoral qualifications.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or College (see </w:t>
            </w:r>
          </w:p>
          <w:p w:rsidR="00A45714" w:rsidRDefault="00390809">
            <w:pPr>
              <w:spacing w:after="0" w:line="259" w:lineRule="auto"/>
            </w:pPr>
            <w:r>
              <w:t xml:space="preserve">note)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</w:tbl>
    <w:p w:rsidR="00A45714" w:rsidRDefault="00A45714">
      <w:pPr>
        <w:spacing w:after="0" w:line="259" w:lineRule="auto"/>
        <w:ind w:left="-1800" w:right="10076"/>
      </w:pPr>
    </w:p>
    <w:tbl>
      <w:tblPr>
        <w:tblStyle w:val="TableGrid"/>
        <w:tblW w:w="9782" w:type="dxa"/>
        <w:tblInd w:w="-283" w:type="dxa"/>
        <w:tblCellMar>
          <w:top w:w="5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126"/>
        <w:gridCol w:w="4514"/>
        <w:gridCol w:w="3142"/>
      </w:tblGrid>
      <w:tr w:rsidR="00A45714">
        <w:trPr>
          <w:trHeight w:val="13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B30AE3">
            <w:pPr>
              <w:spacing w:after="0" w:line="259" w:lineRule="auto"/>
            </w:pPr>
            <w:r>
              <w:t>8</w:t>
            </w:r>
            <w:r w:rsidR="00390809">
              <w:t xml:space="preserve">.  Percentage of full time undergraduate students who are eligible to proceed to second year after their first academic year.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Program/ College (See note)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B30AE3">
            <w:pPr>
              <w:spacing w:after="0" w:line="259" w:lineRule="auto"/>
            </w:pPr>
            <w:r>
              <w:t>9</w:t>
            </w:r>
            <w:r w:rsidR="00390809">
              <w:t xml:space="preserve">.  Proportion of full time students commencing undergraduate programs who complete those programs in minimum time specified for the program.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Program/Department/College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(see note)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>Data separately for male and female sections and combined f</w:t>
            </w:r>
            <w:r>
              <w:t xml:space="preserve">or all. </w:t>
            </w:r>
          </w:p>
        </w:tc>
      </w:tr>
      <w:tr w:rsidR="00A45714">
        <w:trPr>
          <w:trHeight w:val="13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B30AE3">
            <w:pPr>
              <w:spacing w:after="0" w:line="259" w:lineRule="auto"/>
            </w:pPr>
            <w:r>
              <w:t>10</w:t>
            </w:r>
            <w:r w:rsidR="00390809">
              <w:t xml:space="preserve">.  Proportion of students entering </w:t>
            </w:r>
            <w:r w:rsidR="007D716F">
              <w:t>postgraduate</w:t>
            </w:r>
            <w:r w:rsidR="00390809">
              <w:t xml:space="preserve"> programs who complete those programs in minimum time specified for the program.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Program/College (see note)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B30AE3">
            <w:pPr>
              <w:spacing w:after="0"/>
              <w:ind w:right="531"/>
            </w:pPr>
            <w:r>
              <w:t>11</w:t>
            </w:r>
            <w:r w:rsidR="00390809">
              <w:t xml:space="preserve">.  Proportion of graduates from undergraduate programs who within six months of graduation are: employed  </w:t>
            </w:r>
          </w:p>
          <w:p w:rsidR="00A45714" w:rsidRDefault="00390809">
            <w:pPr>
              <w:spacing w:after="0" w:line="259" w:lineRule="auto"/>
            </w:pPr>
            <w:r>
              <w:t xml:space="preserve">enrolled in further study </w:t>
            </w:r>
          </w:p>
          <w:p w:rsidR="00A45714" w:rsidRDefault="00390809">
            <w:pPr>
              <w:spacing w:after="0" w:line="259" w:lineRule="auto"/>
            </w:pPr>
            <w:r>
              <w:t xml:space="preserve">not seeking employment or further study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Program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3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954A5D">
            <w:pPr>
              <w:spacing w:after="0" w:line="259" w:lineRule="auto"/>
            </w:pPr>
            <w:r>
              <w:t xml:space="preserve">5- </w:t>
            </w:r>
            <w:r w:rsidR="00390809">
              <w:t xml:space="preserve">Student </w:t>
            </w:r>
          </w:p>
          <w:p w:rsidR="00A45714" w:rsidRDefault="00390809">
            <w:pPr>
              <w:spacing w:after="0" w:line="259" w:lineRule="auto"/>
            </w:pPr>
            <w:r>
              <w:t xml:space="preserve">Administration and </w:t>
            </w:r>
          </w:p>
          <w:p w:rsidR="00A45714" w:rsidRDefault="00390809">
            <w:pPr>
              <w:spacing w:after="0" w:line="259" w:lineRule="auto"/>
            </w:pPr>
            <w:r>
              <w:t xml:space="preserve">Support Services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B30AE3">
            <w:pPr>
              <w:spacing w:after="0" w:line="259" w:lineRule="auto"/>
              <w:ind w:right="55"/>
            </w:pPr>
            <w:r>
              <w:t>12</w:t>
            </w:r>
            <w:r w:rsidR="00390809">
              <w:t xml:space="preserve">.  Ratio of administrative and support staff to students.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B30AE3">
            <w:pPr>
              <w:spacing w:after="0" w:line="259" w:lineRule="auto"/>
            </w:pPr>
            <w:r>
              <w:t>13</w:t>
            </w:r>
            <w:r w:rsidR="00390809">
              <w:t xml:space="preserve">.  Proportion of total operating funds (other than accommodation and student allowances) allocated to provision of student services. </w:t>
            </w:r>
          </w:p>
          <w:p w:rsidR="005B6C95" w:rsidRDefault="005B6C95">
            <w:pPr>
              <w:spacing w:after="0" w:line="259" w:lineRule="auto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</w:tbl>
    <w:p w:rsidR="00A45714" w:rsidRDefault="00A45714">
      <w:pPr>
        <w:spacing w:after="0" w:line="259" w:lineRule="auto"/>
        <w:ind w:left="-1800" w:right="10076"/>
      </w:pPr>
    </w:p>
    <w:tbl>
      <w:tblPr>
        <w:tblStyle w:val="TableGrid"/>
        <w:tblW w:w="9782" w:type="dxa"/>
        <w:tblInd w:w="-283" w:type="dxa"/>
        <w:tblCellMar>
          <w:top w:w="5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126"/>
        <w:gridCol w:w="4514"/>
        <w:gridCol w:w="3142"/>
      </w:tblGrid>
      <w:tr w:rsidR="00A45714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A45714">
            <w:pPr>
              <w:spacing w:after="160" w:line="259" w:lineRule="auto"/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83" w:rsidRDefault="00381E83">
            <w:pPr>
              <w:spacing w:after="0" w:line="259" w:lineRule="auto"/>
              <w:ind w:right="29"/>
            </w:pPr>
            <w:r>
              <w:t>14</w:t>
            </w:r>
            <w:r w:rsidRPr="00381E83">
              <w:t>.  Student evaluation of academic and career counselling.  (Average rating on the</w:t>
            </w:r>
          </w:p>
          <w:p w:rsidR="00A45714" w:rsidRDefault="00381E83">
            <w:pPr>
              <w:spacing w:after="0" w:line="259" w:lineRule="auto"/>
              <w:ind w:right="29"/>
            </w:pPr>
            <w:r>
              <w:t>Adequacy</w:t>
            </w:r>
            <w:r w:rsidR="00390809">
              <w:t xml:space="preserve"> of academic and career counselling on a five point scale in an annual survey of final year students.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83" w:rsidRDefault="00381E83" w:rsidP="00381E83">
            <w:pPr>
              <w:spacing w:after="0" w:line="259" w:lineRule="auto"/>
            </w:pPr>
            <w:r>
              <w:t xml:space="preserve">Program </w:t>
            </w:r>
          </w:p>
          <w:p w:rsidR="00381E83" w:rsidRDefault="00381E83" w:rsidP="00381E83">
            <w:pPr>
              <w:spacing w:after="0" w:line="259" w:lineRule="auto"/>
            </w:pPr>
            <w:r>
              <w:t>College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954A5D">
            <w:pPr>
              <w:spacing w:after="0" w:line="259" w:lineRule="auto"/>
            </w:pPr>
            <w:r>
              <w:t xml:space="preserve">6- </w:t>
            </w:r>
            <w:r w:rsidR="00390809">
              <w:t xml:space="preserve">Learning </w:t>
            </w:r>
          </w:p>
          <w:p w:rsidR="00A45714" w:rsidRDefault="00390809">
            <w:pPr>
              <w:spacing w:after="0" w:line="259" w:lineRule="auto"/>
            </w:pPr>
            <w:r>
              <w:t xml:space="preserve">Resources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5B6C95">
            <w:pPr>
              <w:spacing w:after="0" w:line="259" w:lineRule="auto"/>
            </w:pPr>
            <w:r>
              <w:t>15</w:t>
            </w:r>
            <w:r w:rsidR="00390809">
              <w:t xml:space="preserve">.  Ratio of book titles held in the library to the number of students.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5B6C95">
            <w:pPr>
              <w:spacing w:after="0" w:line="259" w:lineRule="auto"/>
            </w:pPr>
            <w:r>
              <w:t>16</w:t>
            </w:r>
            <w:r w:rsidR="00390809">
              <w:t xml:space="preserve">.  Number of data base subscriptions as a proportion of the number of programs offered.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>Institu</w:t>
            </w:r>
            <w:r>
              <w:t xml:space="preserve">tion </w:t>
            </w:r>
          </w:p>
        </w:tc>
      </w:tr>
      <w:tr w:rsidR="00A45714">
        <w:trPr>
          <w:trHeight w:val="8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17.</w:t>
            </w:r>
            <w:r w:rsidR="00390809">
              <w:t xml:space="preserve"> Number of periodical subscriptions as a proportion of the number of programs offered. </w:t>
            </w:r>
          </w:p>
          <w:p w:rsidR="005B6C95" w:rsidRDefault="005B6C95">
            <w:pPr>
              <w:spacing w:after="0" w:line="259" w:lineRule="auto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18</w:t>
            </w:r>
            <w:r w:rsidR="00390809">
              <w:t xml:space="preserve">.  Student evaluation of library and learning resource services.  (Average rating on adequacy of library and or learning resource services on a five point scale in an annual survey of final year students.) (See explanatory notes) </w:t>
            </w:r>
          </w:p>
          <w:p w:rsidR="005B6C95" w:rsidRDefault="005B6C95">
            <w:pPr>
              <w:spacing w:after="0" w:line="259" w:lineRule="auto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>Data separ</w:t>
            </w:r>
            <w:r>
              <w:t xml:space="preserve">ately for male and female sections and combined for all. </w:t>
            </w:r>
          </w:p>
        </w:tc>
      </w:tr>
      <w:tr w:rsidR="00A45714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7D716F">
            <w:pPr>
              <w:spacing w:after="0" w:line="259" w:lineRule="auto"/>
            </w:pPr>
            <w:r>
              <w:t xml:space="preserve">7- </w:t>
            </w:r>
            <w:r w:rsidR="00390809">
              <w:t xml:space="preserve">Facilities and </w:t>
            </w:r>
          </w:p>
          <w:p w:rsidR="00A45714" w:rsidRDefault="00390809">
            <w:pPr>
              <w:spacing w:after="0" w:line="259" w:lineRule="auto"/>
            </w:pPr>
            <w:r>
              <w:t xml:space="preserve">Equipment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  <w:jc w:val="both"/>
            </w:pPr>
            <w:r>
              <w:t>19</w:t>
            </w:r>
            <w:r w:rsidR="00390809">
              <w:t xml:space="preserve">.  Annual expenditure on IT as a proportion of total operating funds.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</w:tc>
      </w:tr>
      <w:tr w:rsidR="00A45714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20</w:t>
            </w:r>
            <w:r w:rsidR="00390809">
              <w:t xml:space="preserve">.  Number of accessible computer terminals per student.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21</w:t>
            </w:r>
            <w:r w:rsidR="00390809">
              <w:t xml:space="preserve">.  Average overall rating of adequacy of facilities and equipment in a survey of teaching staff.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>Data separately for male and female sections and co</w:t>
            </w:r>
            <w:r>
              <w:t xml:space="preserve">mbined for all. </w:t>
            </w:r>
          </w:p>
        </w:tc>
      </w:tr>
      <w:tr w:rsidR="00A45714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7D716F">
            <w:pPr>
              <w:spacing w:after="0" w:line="259" w:lineRule="auto"/>
            </w:pPr>
            <w:r>
              <w:t xml:space="preserve">8- </w:t>
            </w:r>
            <w:r w:rsidR="00390809">
              <w:t xml:space="preserve">Financial Planning and Management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22</w:t>
            </w:r>
            <w:r w:rsidR="00390809">
              <w:t xml:space="preserve">.  Total operating expenditure (other than accommodation and student allowances) per student.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</w:tc>
      </w:tr>
      <w:tr w:rsidR="00A45714">
        <w:trPr>
          <w:trHeight w:val="194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7D716F">
            <w:pPr>
              <w:spacing w:after="0" w:line="259" w:lineRule="auto"/>
            </w:pPr>
            <w:r>
              <w:lastRenderedPageBreak/>
              <w:t xml:space="preserve">9- </w:t>
            </w:r>
            <w:r w:rsidR="00390809">
              <w:t xml:space="preserve">Faculty and Staff </w:t>
            </w:r>
          </w:p>
          <w:p w:rsidR="00A45714" w:rsidRDefault="00390809">
            <w:pPr>
              <w:spacing w:after="0" w:line="259" w:lineRule="auto"/>
            </w:pPr>
            <w:r>
              <w:t xml:space="preserve">Employment </w:t>
            </w:r>
          </w:p>
          <w:p w:rsidR="00A45714" w:rsidRDefault="00390809">
            <w:pPr>
              <w:spacing w:after="0" w:line="259" w:lineRule="auto"/>
            </w:pPr>
            <w:r>
              <w:t xml:space="preserve">Processes     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23</w:t>
            </w:r>
            <w:r w:rsidR="00390809">
              <w:t xml:space="preserve">.  Proportion of teaching staff leaving the institution in the past year for reasons other than age retirement.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/>
            </w:pPr>
            <w:r>
              <w:t xml:space="preserve">Data separately for male and female sections and combined for all. </w:t>
            </w:r>
          </w:p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</w:tr>
      <w:tr w:rsidR="00A45714">
        <w:trPr>
          <w:trHeight w:val="1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24</w:t>
            </w:r>
            <w:r w:rsidR="005B6C95">
              <w:t>.</w:t>
            </w:r>
            <w:r w:rsidR="00390809">
              <w:t xml:space="preserve"> Proportion of teaching staff participating in at least one full day or equivalent of professional development activities arranged by the department, college or institution during the past year.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>Data separately for male</w:t>
            </w:r>
            <w:r>
              <w:t xml:space="preserve"> and female sections 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7D716F">
            <w:pPr>
              <w:spacing w:after="0" w:line="259" w:lineRule="auto"/>
            </w:pPr>
            <w:r>
              <w:t xml:space="preserve">10- </w:t>
            </w:r>
            <w:r w:rsidR="00390809">
              <w:t xml:space="preserve">Research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25</w:t>
            </w:r>
            <w:r w:rsidR="005B6C95">
              <w:t>.</w:t>
            </w:r>
            <w:r w:rsidR="00390809">
              <w:t xml:space="preserve"> Number of refereed publications in the previous three years per full time members of teaching staff.  (Publications based on the formula in the Higher Council Bylaw excluding conference presentation</w:t>
            </w:r>
            <w:r w:rsidR="00390809">
              <w:t xml:space="preserve">s)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26</w:t>
            </w:r>
            <w:r w:rsidR="00390809">
              <w:t xml:space="preserve">.  Number of citations in refereed journals to publications by full time teaching staff as a proportion of full time teaching staff.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27</w:t>
            </w:r>
            <w:r w:rsidR="00390809">
              <w:t xml:space="preserve">.  Proportion of full time members of teaching staff with at least one refereed publication during the previous year.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>Instituti</w:t>
            </w:r>
            <w:r>
              <w:t xml:space="preserve">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28</w:t>
            </w:r>
            <w:r w:rsidR="005B6C95">
              <w:t>.</w:t>
            </w:r>
            <w:r w:rsidR="00390809">
              <w:t xml:space="preserve"> Number of research articles published by graduate students or recent graduates based on their thesis research as a percentage of the number of postgraduate students.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1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  <w:ind w:right="31"/>
            </w:pPr>
            <w:r>
              <w:t>29</w:t>
            </w:r>
            <w:r w:rsidR="00390809">
              <w:t xml:space="preserve">.  Number of papers or reports presented at academic conferences during the past year per full time member of teaching staff.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  <w:tr w:rsidR="00A45714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lastRenderedPageBreak/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  <w:ind w:right="3"/>
            </w:pPr>
            <w:r>
              <w:t>30</w:t>
            </w:r>
            <w:r w:rsidR="005B6C95">
              <w:t>.</w:t>
            </w:r>
            <w:r w:rsidR="00390809">
              <w:t xml:space="preserve"> Research income from external sources in the past year as a proportion of the number of full time teaching staff members.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</w:tc>
      </w:tr>
      <w:tr w:rsidR="00A45714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  <w:ind w:right="15"/>
            </w:pPr>
            <w:r>
              <w:t>31</w:t>
            </w:r>
            <w:r w:rsidR="00390809">
              <w:t xml:space="preserve">.  Proportion of total operating funds spent on research in the last financial year.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7D716F">
            <w:pPr>
              <w:spacing w:after="0" w:line="259" w:lineRule="auto"/>
            </w:pPr>
            <w:r>
              <w:t xml:space="preserve">11- </w:t>
            </w:r>
            <w:r w:rsidR="00390809">
              <w:t xml:space="preserve">Community </w:t>
            </w:r>
          </w:p>
          <w:p w:rsidR="00A45714" w:rsidRDefault="00390809">
            <w:pPr>
              <w:spacing w:after="0" w:line="259" w:lineRule="auto"/>
            </w:pPr>
            <w:r>
              <w:t xml:space="preserve">Service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</w:pPr>
            <w:r>
              <w:t>32</w:t>
            </w:r>
            <w:r w:rsidR="00390809">
              <w:t xml:space="preserve">.  Number of community education programs provided.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</w:t>
            </w:r>
            <w:r>
              <w:t xml:space="preserve">and combined for all. </w:t>
            </w:r>
          </w:p>
        </w:tc>
      </w:tr>
      <w:tr w:rsidR="00A45714">
        <w:trPr>
          <w:trHeight w:val="16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F511AD">
            <w:pPr>
              <w:spacing w:after="0" w:line="259" w:lineRule="auto"/>
              <w:ind w:right="29"/>
            </w:pPr>
            <w:r>
              <w:t>33</w:t>
            </w:r>
            <w:bookmarkStart w:id="0" w:name="_GoBack"/>
            <w:bookmarkEnd w:id="0"/>
            <w:r w:rsidR="00390809">
              <w:t xml:space="preserve">.  Number of hours of voluntary professional work spent in the community as a percentage of full time teaching staff.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714" w:rsidRDefault="00390809">
            <w:pPr>
              <w:spacing w:after="0" w:line="259" w:lineRule="auto"/>
            </w:pPr>
            <w:r>
              <w:t xml:space="preserve">Department </w:t>
            </w:r>
          </w:p>
          <w:p w:rsidR="00A45714" w:rsidRDefault="00390809">
            <w:pPr>
              <w:spacing w:after="0" w:line="259" w:lineRule="auto"/>
            </w:pPr>
            <w:r>
              <w:t xml:space="preserve">College </w:t>
            </w:r>
          </w:p>
          <w:p w:rsidR="00A45714" w:rsidRDefault="00390809">
            <w:pPr>
              <w:spacing w:after="0" w:line="259" w:lineRule="auto"/>
            </w:pPr>
            <w:r>
              <w:t xml:space="preserve">Institution </w:t>
            </w:r>
          </w:p>
          <w:p w:rsidR="00A45714" w:rsidRDefault="00390809">
            <w:pPr>
              <w:spacing w:after="0" w:line="259" w:lineRule="auto"/>
            </w:pPr>
            <w:r>
              <w:t xml:space="preserve">Data separately for male and female sections and combined for all. </w:t>
            </w:r>
          </w:p>
        </w:tc>
      </w:tr>
    </w:tbl>
    <w:p w:rsidR="00A45714" w:rsidRDefault="00390809">
      <w:pPr>
        <w:spacing w:after="0" w:line="259" w:lineRule="auto"/>
        <w:jc w:val="both"/>
      </w:pPr>
      <w:r>
        <w:t xml:space="preserve"> </w:t>
      </w:r>
    </w:p>
    <w:p w:rsidR="00A45714" w:rsidRDefault="00390809">
      <w:r>
        <w:t xml:space="preserve">Note:  In indicators 5 to 14 where the level at which data is required shows department/college, program/college, or program/department/college the larger administrative unit should be used where a substantial number of common courses are taken within the </w:t>
      </w:r>
      <w:r>
        <w:t xml:space="preserve">larger unit.  </w:t>
      </w:r>
    </w:p>
    <w:p w:rsidR="00A45714" w:rsidRDefault="00390809">
      <w:pPr>
        <w:spacing w:after="0" w:line="259" w:lineRule="auto"/>
      </w:pPr>
      <w:r>
        <w:t xml:space="preserve"> </w:t>
      </w:r>
      <w:r>
        <w:tab/>
        <w:t xml:space="preserve"> </w:t>
      </w:r>
    </w:p>
    <w:sectPr w:rsidR="00A45714">
      <w:footerReference w:type="even" r:id="rId7"/>
      <w:footerReference w:type="default" r:id="rId8"/>
      <w:footerReference w:type="first" r:id="rId9"/>
      <w:pgSz w:w="12240" w:h="15840"/>
      <w:pgMar w:top="1157" w:right="2164" w:bottom="1162" w:left="1800" w:header="720" w:footer="711" w:gutter="0"/>
      <w:pgNumType w:start="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09" w:rsidRDefault="00390809">
      <w:pPr>
        <w:spacing w:after="0" w:line="240" w:lineRule="auto"/>
      </w:pPr>
      <w:r>
        <w:separator/>
      </w:r>
    </w:p>
  </w:endnote>
  <w:endnote w:type="continuationSeparator" w:id="0">
    <w:p w:rsidR="00390809" w:rsidRDefault="0039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14" w:rsidRDefault="00390809">
    <w:pPr>
      <w:tabs>
        <w:tab w:val="center" w:pos="720"/>
        <w:tab w:val="center" w:pos="1440"/>
        <w:tab w:val="center" w:pos="2160"/>
        <w:tab w:val="center" w:pos="2880"/>
        <w:tab w:val="center" w:pos="3600"/>
        <w:tab w:val="center" w:pos="4265"/>
        <w:tab w:val="center" w:pos="5040"/>
        <w:tab w:val="center" w:pos="5760"/>
        <w:tab w:val="center" w:pos="6963"/>
      </w:tabs>
      <w:spacing w:after="0" w:line="259" w:lineRule="auto"/>
    </w:pPr>
    <w:r>
      <w:rPr>
        <w:sz w:val="16"/>
      </w:rPr>
      <w:t xml:space="preserve">Ver. 2.0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t xml:space="preserve"> 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61</w:t>
    </w:r>
    <w:r>
      <w:rPr>
        <w:sz w:val="16"/>
      </w:rPr>
      <w:fldChar w:fldCharType="end"/>
    </w:r>
    <w:r>
      <w:rPr>
        <w:sz w:val="16"/>
      </w:rPr>
      <w:t xml:space="preserve"> of 248 </w:t>
    </w:r>
  </w:p>
  <w:p w:rsidR="00A45714" w:rsidRDefault="00390809">
    <w:pPr>
      <w:spacing w:after="0" w:line="259" w:lineRule="auto"/>
    </w:pPr>
    <w:r>
      <w:rPr>
        <w:sz w:val="16"/>
      </w:rPr>
      <w:t xml:space="preserve">July 2011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14" w:rsidRDefault="00390809">
    <w:pPr>
      <w:tabs>
        <w:tab w:val="center" w:pos="720"/>
        <w:tab w:val="center" w:pos="1440"/>
        <w:tab w:val="center" w:pos="2160"/>
        <w:tab w:val="center" w:pos="2880"/>
        <w:tab w:val="center" w:pos="3600"/>
        <w:tab w:val="center" w:pos="4265"/>
        <w:tab w:val="center" w:pos="5040"/>
        <w:tab w:val="center" w:pos="5760"/>
        <w:tab w:val="center" w:pos="6963"/>
      </w:tabs>
      <w:spacing w:after="0" w:line="259" w:lineRule="auto"/>
    </w:pPr>
    <w:r>
      <w:rPr>
        <w:sz w:val="16"/>
      </w:rPr>
      <w:t xml:space="preserve">Ver. 2.0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t xml:space="preserve"> 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511AD" w:rsidRPr="00F511AD">
      <w:rPr>
        <w:noProof/>
        <w:sz w:val="16"/>
      </w:rPr>
      <w:t>64</w:t>
    </w:r>
    <w:r>
      <w:rPr>
        <w:sz w:val="16"/>
      </w:rPr>
      <w:fldChar w:fldCharType="end"/>
    </w:r>
    <w:r>
      <w:rPr>
        <w:sz w:val="16"/>
      </w:rPr>
      <w:t xml:space="preserve"> of 248 </w:t>
    </w:r>
  </w:p>
  <w:p w:rsidR="00A45714" w:rsidRDefault="00390809">
    <w:pPr>
      <w:spacing w:after="0" w:line="259" w:lineRule="auto"/>
    </w:pPr>
    <w:r>
      <w:rPr>
        <w:sz w:val="16"/>
      </w:rPr>
      <w:t xml:space="preserve">July 2011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714" w:rsidRDefault="00390809">
    <w:pPr>
      <w:tabs>
        <w:tab w:val="center" w:pos="720"/>
        <w:tab w:val="center" w:pos="1440"/>
        <w:tab w:val="center" w:pos="2160"/>
        <w:tab w:val="center" w:pos="2880"/>
        <w:tab w:val="center" w:pos="3600"/>
        <w:tab w:val="center" w:pos="4265"/>
        <w:tab w:val="center" w:pos="5040"/>
        <w:tab w:val="center" w:pos="5760"/>
        <w:tab w:val="center" w:pos="6963"/>
      </w:tabs>
      <w:spacing w:after="0" w:line="259" w:lineRule="auto"/>
    </w:pPr>
    <w:r>
      <w:rPr>
        <w:sz w:val="16"/>
      </w:rPr>
      <w:t xml:space="preserve">Ver. 2.0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</w:r>
    <w:r>
      <w:t xml:space="preserve"> </w:t>
    </w:r>
    <w:r>
      <w:rPr>
        <w:sz w:val="16"/>
      </w:rPr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 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61</w:t>
    </w:r>
    <w:r>
      <w:rPr>
        <w:sz w:val="16"/>
      </w:rPr>
      <w:fldChar w:fldCharType="end"/>
    </w:r>
    <w:r>
      <w:rPr>
        <w:sz w:val="16"/>
      </w:rPr>
      <w:t xml:space="preserve"> of 248 </w:t>
    </w:r>
  </w:p>
  <w:p w:rsidR="00A45714" w:rsidRDefault="00390809">
    <w:pPr>
      <w:spacing w:after="0" w:line="259" w:lineRule="auto"/>
    </w:pPr>
    <w:r>
      <w:rPr>
        <w:sz w:val="16"/>
      </w:rPr>
      <w:t xml:space="preserve">July 2011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09" w:rsidRDefault="00390809">
      <w:pPr>
        <w:spacing w:after="0" w:line="240" w:lineRule="auto"/>
      </w:pPr>
      <w:r>
        <w:separator/>
      </w:r>
    </w:p>
  </w:footnote>
  <w:footnote w:type="continuationSeparator" w:id="0">
    <w:p w:rsidR="00390809" w:rsidRDefault="0039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1271"/>
    <w:multiLevelType w:val="hybridMultilevel"/>
    <w:tmpl w:val="52341CAA"/>
    <w:lvl w:ilvl="0" w:tplc="2E4EEF24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34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E1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234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C19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479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E050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EB8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86B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91ADA"/>
    <w:multiLevelType w:val="hybridMultilevel"/>
    <w:tmpl w:val="CBA6330A"/>
    <w:lvl w:ilvl="0" w:tplc="90988A80">
      <w:start w:val="2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AE75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47C9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A5D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643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C1B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E818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6899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8510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14"/>
    <w:rsid w:val="00000BF0"/>
    <w:rsid w:val="00042F47"/>
    <w:rsid w:val="00184F41"/>
    <w:rsid w:val="002C7D23"/>
    <w:rsid w:val="002E0EE0"/>
    <w:rsid w:val="00381E83"/>
    <w:rsid w:val="00390809"/>
    <w:rsid w:val="005B6C95"/>
    <w:rsid w:val="007D716F"/>
    <w:rsid w:val="008B53AC"/>
    <w:rsid w:val="008F3D1C"/>
    <w:rsid w:val="00936832"/>
    <w:rsid w:val="00954A5D"/>
    <w:rsid w:val="00A45714"/>
    <w:rsid w:val="00B30AE3"/>
    <w:rsid w:val="00D01CCF"/>
    <w:rsid w:val="00F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7B33A8-908E-468C-916B-ECA52771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38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nahlah a. bugshan</dc:creator>
  <cp:keywords/>
  <cp:lastModifiedBy>nahlah a. bugshan</cp:lastModifiedBy>
  <cp:revision>14</cp:revision>
  <dcterms:created xsi:type="dcterms:W3CDTF">2015-04-01T07:59:00Z</dcterms:created>
  <dcterms:modified xsi:type="dcterms:W3CDTF">2015-04-01T08:33:00Z</dcterms:modified>
</cp:coreProperties>
</file>